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0a1dc379844f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11050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Marčana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656.591,13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717.394,13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722.160,93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696.162,06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21.232,07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2.506,87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2.506,87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21.232,07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rashoda je primarno zbog povećanog broja zaposlenih. Najznačajniji su rashodi za zaposlene prekom MZOM te su stoga povećani i prihodi iz državnog proračuna. Škola ima i područnu školu, Loborika. Izgrađuje se nova matična škola u Marčani i od ove godine privremeno smo smješteni u prostore vatrogasnog doma u Raklju gdje se odvija nastava, dok je uprava škole u župnom uredu u Raklju. Zbog tih okolnosti stvoreni su i dodatni rashodi.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520.321,82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570.116,75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109,6</w:t>
            </w:r>
          </w:p>
        </w:tc>
      </w:tr>
    </w:tbl>
    <w:p>
      <w:pPr>
        <w:spacing w:before="0" w:after="0"/>
      </w:pPr>
    </w:p>
    <w:p>
      <w:r>
        <w:t xml:space="preserve">Primarno su prihodi iz državnog proračuna za plaće zaposlenih preko MZOM, ali i prihodi iz proračuna općine Marčana koja sufinancira plaće zaposlenih u produženom boravku.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586.023,26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545.279,11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</w:tbl>
    <w:p>
      <w:pPr>
        <w:spacing w:before="0" w:after="0"/>
      </w:pPr>
    </w:p>
    <w:p>
      <w:r>
        <w:t xml:space="preserve">Razlika je u metodološkom evidentiranju plaća zaposlenih za plaću 12.mj. U tekućem obračunskom razdoblju obračunat je rashod za razdoblje od I-VI/2026, dok je u prethodnom razdoblju rashod plaće bio i za 12.mj.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19,5</w:t>
            </w:r>
          </w:p>
        </w:tc>
      </w:tr>
    </w:tbl>
    <w:p>
      <w:pPr>
        <w:spacing w:before="0" w:after="0"/>
      </w:pPr>
    </w:p>
    <w:p>
      <w:r>
        <w:t xml:space="preserve">Škola djeluje u sklopu riznice od 09/2025. U prošloj godini postojali su dodatni troškovi banke.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61.672,00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78.040,00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126,5</w:t>
            </w:r>
          </w:p>
        </w:tc>
      </w:tr>
    </w:tbl>
    <w:p>
      <w:pPr>
        <w:spacing w:before="0" w:after="0"/>
      </w:pPr>
    </w:p>
    <w:p>
      <w:r>
        <w:t xml:space="preserve">Plaća se prijevoz učenika i on je skuplji zbog dodatne lokacije u Raklju i dodatnog prijevoza za Loboriku.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21.232,07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je zbog prihoda za plaće 12.mj. koje su isplaćene u tekućoj godini, dok je rashod za plaće rashod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2.506,87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Na novu lokaciju donijeli smo opremu iz matične škole. Matična je u potpunosti srušena zbog izgradnje nove škole.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10.157,50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za HZZO bolovanje i povrat u proračun.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nema dospijele obveze. Obveze su za plaću 6/2026 i materijalni rashod projekta "Zavičajne nastave".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a6c73b5d734eb1" /></Relationships>
</file>